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ABAE" w14:textId="77777777" w:rsidR="00304FB6" w:rsidRDefault="00304FB6" w:rsidP="00512EAF">
      <w:pPr>
        <w:jc w:val="center"/>
        <w:textAlignment w:val="baseline"/>
        <w:rPr>
          <w:rFonts w:ascii="Trebuchet MS" w:eastAsia="Times New Roman" w:hAnsi="Trebuchet MS" w:cstheme="minorHAnsi"/>
          <w:color w:val="4472C4" w:themeColor="accent1"/>
          <w:sz w:val="28"/>
          <w:szCs w:val="28"/>
          <w:u w:val="single"/>
          <w:lang w:eastAsia="en-GB"/>
        </w:rPr>
      </w:pPr>
    </w:p>
    <w:p w14:paraId="7009CD2C" w14:textId="5AB60856" w:rsidR="00512EAF" w:rsidRPr="00D34F16" w:rsidRDefault="00512EAF" w:rsidP="00512EAF">
      <w:pPr>
        <w:jc w:val="center"/>
        <w:textAlignment w:val="baseline"/>
        <w:rPr>
          <w:rFonts w:ascii="Trebuchet MS" w:eastAsia="Times New Roman" w:hAnsi="Trebuchet MS" w:cstheme="minorHAnsi"/>
          <w:color w:val="4472C4" w:themeColor="accent1"/>
          <w:sz w:val="28"/>
          <w:szCs w:val="28"/>
          <w:u w:val="single"/>
          <w:lang w:eastAsia="en-GB"/>
        </w:rPr>
      </w:pPr>
      <w:r w:rsidRPr="00D34F16">
        <w:rPr>
          <w:rFonts w:ascii="Trebuchet MS" w:eastAsia="Times New Roman" w:hAnsi="Trebuchet MS" w:cstheme="minorHAnsi"/>
          <w:color w:val="4472C4" w:themeColor="accent1"/>
          <w:sz w:val="28"/>
          <w:szCs w:val="28"/>
          <w:u w:val="single"/>
          <w:lang w:eastAsia="en-GB"/>
        </w:rPr>
        <w:t>Consent for Paediatric Regional Anaesthesia</w:t>
      </w:r>
    </w:p>
    <w:p w14:paraId="126FAD05" w14:textId="170A06E4" w:rsidR="00512EAF" w:rsidRPr="00D34F16" w:rsidRDefault="00D34F16" w:rsidP="00D64590">
      <w:pPr>
        <w:jc w:val="center"/>
        <w:textAlignment w:val="baseline"/>
        <w:rPr>
          <w:rFonts w:ascii="Trebuchet MS" w:eastAsia="Times New Roman" w:hAnsi="Trebuchet MS" w:cstheme="minorHAnsi"/>
          <w:color w:val="4472C4" w:themeColor="accent1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theme="minorHAnsi"/>
          <w:color w:val="4472C4" w:themeColor="accent1"/>
          <w:sz w:val="28"/>
          <w:szCs w:val="28"/>
          <w:u w:val="single"/>
          <w:lang w:eastAsia="en-GB"/>
        </w:rPr>
        <w:t>S</w:t>
      </w:r>
      <w:r w:rsidR="00512EAF" w:rsidRPr="00D34F16">
        <w:rPr>
          <w:rFonts w:ascii="Trebuchet MS" w:eastAsia="Times New Roman" w:hAnsi="Trebuchet MS" w:cstheme="minorHAnsi"/>
          <w:color w:val="4472C4" w:themeColor="accent1"/>
          <w:sz w:val="28"/>
          <w:szCs w:val="28"/>
          <w:u w:val="single"/>
          <w:lang w:eastAsia="en-GB"/>
        </w:rPr>
        <w:t>upporting documentation</w:t>
      </w:r>
    </w:p>
    <w:p w14:paraId="379F52A6" w14:textId="77777777" w:rsidR="00D64590" w:rsidRPr="00D64590" w:rsidRDefault="00D64590" w:rsidP="00D64590">
      <w:pPr>
        <w:jc w:val="center"/>
        <w:textAlignment w:val="baseline"/>
        <w:rPr>
          <w:rFonts w:eastAsia="Times New Roman" w:cstheme="minorHAnsi"/>
          <w:color w:val="000000"/>
          <w:sz w:val="24"/>
          <w:szCs w:val="24"/>
          <w:u w:val="single"/>
          <w:lang w:eastAsia="en-GB"/>
        </w:rPr>
      </w:pPr>
    </w:p>
    <w:p w14:paraId="099150F8" w14:textId="5F9A3BAC" w:rsidR="00D64590" w:rsidRPr="00D34F16" w:rsidRDefault="00D64590" w:rsidP="003B546D">
      <w:pPr>
        <w:rPr>
          <w:rFonts w:ascii="Tahoma" w:hAnsi="Tahoma" w:cs="Tahoma"/>
          <w:bCs/>
          <w:color w:val="002060"/>
          <w:sz w:val="24"/>
          <w:szCs w:val="24"/>
        </w:rPr>
      </w:pPr>
      <w:r w:rsidRPr="00D34F16">
        <w:rPr>
          <w:rFonts w:ascii="Tahoma" w:hAnsi="Tahoma" w:cs="Tahoma"/>
          <w:bCs/>
          <w:color w:val="002060"/>
          <w:sz w:val="24"/>
          <w:szCs w:val="24"/>
        </w:rPr>
        <w:t xml:space="preserve">This template has been designed to support documentation of consent discussions for performance of peripheral nerve block procedures in paediatric anaesthesia. </w:t>
      </w:r>
    </w:p>
    <w:p w14:paraId="2E2F140F" w14:textId="0B2E75A1" w:rsidR="006E76A9" w:rsidRPr="00D34F16" w:rsidRDefault="006E76A9" w:rsidP="003B546D">
      <w:pPr>
        <w:rPr>
          <w:rFonts w:ascii="Tahoma" w:hAnsi="Tahoma" w:cs="Tahoma"/>
          <w:color w:val="002060"/>
          <w:sz w:val="24"/>
          <w:szCs w:val="24"/>
        </w:rPr>
      </w:pPr>
      <w:r w:rsidRPr="00D34F16">
        <w:rPr>
          <w:rFonts w:ascii="Tahoma" w:hAnsi="Tahoma" w:cs="Tahoma"/>
          <w:color w:val="002060"/>
          <w:sz w:val="24"/>
          <w:szCs w:val="24"/>
        </w:rPr>
        <w:t>A recent editorial highlighted the need for regional anaesthesia to become more widespread among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st the paediatric population</w:t>
      </w:r>
      <w:r w:rsidR="00204D5A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>1</w:t>
      </w:r>
      <w:r w:rsidRPr="00D34F16">
        <w:rPr>
          <w:rFonts w:ascii="Tahoma" w:hAnsi="Tahoma" w:cs="Tahoma"/>
          <w:color w:val="002060"/>
          <w:sz w:val="24"/>
          <w:szCs w:val="24"/>
        </w:rPr>
        <w:t>.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>The importance of accurate docu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mentation 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of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consent discussion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>s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regarding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 xml:space="preserve"> 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all forms of 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>anaesthesia is well recognised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.</w:t>
      </w:r>
      <w:r w:rsidR="00204D5A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>2, 3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 xml:space="preserve"> </w:t>
      </w:r>
      <w:r w:rsidRPr="00D34F16">
        <w:rPr>
          <w:rFonts w:ascii="Tahoma" w:hAnsi="Tahoma" w:cs="Tahoma"/>
          <w:color w:val="002060"/>
          <w:sz w:val="24"/>
          <w:szCs w:val="24"/>
        </w:rPr>
        <w:t>T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 xml:space="preserve">here is little 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global 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 xml:space="preserve">consensus on the specific discussions and documentation </w:t>
      </w:r>
      <w:r w:rsidR="00D64590" w:rsidRPr="00D34F16">
        <w:rPr>
          <w:rFonts w:ascii="Tahoma" w:hAnsi="Tahoma" w:cs="Tahoma"/>
          <w:color w:val="002060"/>
          <w:sz w:val="24"/>
          <w:szCs w:val="24"/>
        </w:rPr>
        <w:t>required for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 xml:space="preserve"> regional anaesthesia in children as it is utilised less commonly than in adults and </w:t>
      </w:r>
      <w:r w:rsidRPr="00D34F16">
        <w:rPr>
          <w:rFonts w:ascii="Tahoma" w:hAnsi="Tahoma" w:cs="Tahoma"/>
          <w:color w:val="002060"/>
          <w:sz w:val="24"/>
          <w:szCs w:val="24"/>
        </w:rPr>
        <w:t>has</w:t>
      </w:r>
      <w:r w:rsidR="005858A7" w:rsidRPr="00D34F16">
        <w:rPr>
          <w:rFonts w:ascii="Tahoma" w:hAnsi="Tahoma" w:cs="Tahoma"/>
          <w:color w:val="002060"/>
          <w:sz w:val="24"/>
          <w:szCs w:val="24"/>
        </w:rPr>
        <w:t xml:space="preserve"> a</w:t>
      </w:r>
      <w:r w:rsidR="003B546D" w:rsidRPr="00D34F16">
        <w:rPr>
          <w:rFonts w:ascii="Tahoma" w:hAnsi="Tahoma" w:cs="Tahoma"/>
          <w:color w:val="002060"/>
          <w:sz w:val="24"/>
          <w:szCs w:val="24"/>
        </w:rPr>
        <w:t xml:space="preserve"> differing risk 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profile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.</w:t>
      </w:r>
      <w:r w:rsidR="00204D5A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>4, 5,6</w:t>
      </w:r>
    </w:p>
    <w:p w14:paraId="17BF93BF" w14:textId="3E100D7C" w:rsidR="00204D5A" w:rsidRPr="00D34F16" w:rsidRDefault="003B546D" w:rsidP="003B546D">
      <w:pPr>
        <w:rPr>
          <w:rFonts w:ascii="Tahoma" w:hAnsi="Tahoma" w:cs="Tahoma"/>
          <w:color w:val="002060"/>
          <w:sz w:val="24"/>
          <w:szCs w:val="24"/>
          <w:vertAlign w:val="superscript"/>
        </w:rPr>
      </w:pPr>
      <w:r w:rsidRPr="00D34F16">
        <w:rPr>
          <w:rFonts w:ascii="Tahoma" w:hAnsi="Tahoma" w:cs="Tahoma"/>
          <w:color w:val="002060"/>
          <w:sz w:val="24"/>
          <w:szCs w:val="24"/>
        </w:rPr>
        <w:t xml:space="preserve">This consent document aims to act as an aide memoire for anaesthetists when consenting </w:t>
      </w:r>
      <w:r w:rsidR="006E76A9" w:rsidRPr="00D34F16">
        <w:rPr>
          <w:rFonts w:ascii="Tahoma" w:hAnsi="Tahoma" w:cs="Tahoma"/>
          <w:color w:val="002060"/>
          <w:sz w:val="24"/>
          <w:szCs w:val="24"/>
        </w:rPr>
        <w:t xml:space="preserve">paediatric 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patients for peripheral </w:t>
      </w:r>
      <w:r w:rsidR="00D64590" w:rsidRPr="00D34F16">
        <w:rPr>
          <w:rFonts w:ascii="Tahoma" w:hAnsi="Tahoma" w:cs="Tahoma"/>
          <w:color w:val="002060"/>
          <w:sz w:val="24"/>
          <w:szCs w:val="24"/>
        </w:rPr>
        <w:t>nerve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blocks, whilst also 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>enabling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accurate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 xml:space="preserve"> but rapid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documentation to reflect </w:t>
      </w:r>
      <w:r w:rsidR="006E76A9" w:rsidRPr="00D34F16">
        <w:rPr>
          <w:rFonts w:ascii="Tahoma" w:hAnsi="Tahoma" w:cs="Tahoma"/>
          <w:color w:val="002060"/>
          <w:sz w:val="24"/>
          <w:szCs w:val="24"/>
        </w:rPr>
        <w:t xml:space="preserve">these </w:t>
      </w:r>
      <w:r w:rsidRPr="00D34F16">
        <w:rPr>
          <w:rFonts w:ascii="Tahoma" w:hAnsi="Tahoma" w:cs="Tahoma"/>
          <w:color w:val="002060"/>
          <w:sz w:val="24"/>
          <w:szCs w:val="24"/>
        </w:rPr>
        <w:t>discussions. This is paediatric specific in that it assumes all block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>s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will be performed under general anaesthesia, recognises guardians in discussions and highlights 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 xml:space="preserve">consideration to local anaesthetic dosing with </w:t>
      </w:r>
      <w:r w:rsidR="00A017FF" w:rsidRPr="00D34F16">
        <w:rPr>
          <w:rFonts w:ascii="Tahoma" w:hAnsi="Tahoma" w:cs="Tahoma"/>
          <w:color w:val="002060"/>
          <w:sz w:val="24"/>
          <w:szCs w:val="24"/>
        </w:rPr>
        <w:t>reference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 xml:space="preserve"> to the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>physiological and pharmaco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kinetic differences in childre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n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.</w:t>
      </w:r>
      <w:r w:rsidR="00C50F9B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>7</w:t>
      </w:r>
    </w:p>
    <w:p w14:paraId="00FAE216" w14:textId="155011BE" w:rsidR="00D34F16" w:rsidRDefault="003B546D" w:rsidP="003B546D">
      <w:pPr>
        <w:rPr>
          <w:rFonts w:ascii="Tahoma" w:hAnsi="Tahoma" w:cs="Tahoma"/>
          <w:color w:val="002060"/>
          <w:sz w:val="24"/>
          <w:szCs w:val="24"/>
        </w:rPr>
      </w:pPr>
      <w:r w:rsidRPr="00D34F16">
        <w:rPr>
          <w:rFonts w:ascii="Tahoma" w:hAnsi="Tahoma" w:cs="Tahoma"/>
          <w:color w:val="002060"/>
          <w:sz w:val="24"/>
          <w:szCs w:val="24"/>
        </w:rPr>
        <w:t xml:space="preserve">This exemplar document allows inter-departmental flexibility </w:t>
      </w:r>
      <w:r w:rsidR="004A7675" w:rsidRPr="00D34F16">
        <w:rPr>
          <w:rFonts w:ascii="Tahoma" w:hAnsi="Tahoma" w:cs="Tahoma"/>
          <w:color w:val="002060"/>
          <w:sz w:val="24"/>
          <w:szCs w:val="24"/>
        </w:rPr>
        <w:t>when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risk</w:t>
      </w:r>
      <w:r w:rsidR="00304FB6">
        <w:rPr>
          <w:rFonts w:ascii="Tahoma" w:hAnsi="Tahoma" w:cs="Tahoma"/>
          <w:color w:val="002060"/>
          <w:sz w:val="24"/>
          <w:szCs w:val="24"/>
        </w:rPr>
        <w:t>-</w:t>
      </w:r>
      <w:r w:rsidRPr="00D34F16">
        <w:rPr>
          <w:rFonts w:ascii="Tahoma" w:hAnsi="Tahoma" w:cs="Tahoma"/>
          <w:color w:val="002060"/>
          <w:sz w:val="24"/>
          <w:szCs w:val="24"/>
        </w:rPr>
        <w:t>advising. This can be centred on the paediatric specific data suggesting that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 xml:space="preserve"> both</w:t>
      </w:r>
      <w:r w:rsidR="004A7675" w:rsidRPr="00D34F16">
        <w:rPr>
          <w:rFonts w:ascii="Tahoma" w:hAnsi="Tahoma" w:cs="Tahoma"/>
          <w:color w:val="002060"/>
          <w:sz w:val="24"/>
          <w:szCs w:val="24"/>
        </w:rPr>
        <w:t xml:space="preserve"> transient and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long term risk of 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 xml:space="preserve">neurological damage is </w:t>
      </w:r>
      <w:r w:rsidR="004A7675" w:rsidRPr="00D34F16">
        <w:rPr>
          <w:rFonts w:ascii="Tahoma" w:hAnsi="Tahoma" w:cs="Tahoma"/>
          <w:color w:val="002060"/>
          <w:sz w:val="24"/>
          <w:szCs w:val="24"/>
        </w:rPr>
        <w:t>very rare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,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or can take a more conservative approach and utilise the generic RA-UK data (1:10 risk of short term sequalae and 1:</w:t>
      </w:r>
      <w:r w:rsidR="00D64590" w:rsidRPr="00D34F16">
        <w:rPr>
          <w:rFonts w:ascii="Tahoma" w:hAnsi="Tahoma" w:cs="Tahoma"/>
          <w:color w:val="002060"/>
          <w:sz w:val="24"/>
          <w:szCs w:val="24"/>
        </w:rPr>
        <w:t>2</w:t>
      </w:r>
      <w:r w:rsidR="00512EAF" w:rsidRPr="00D34F16">
        <w:rPr>
          <w:rFonts w:ascii="Tahoma" w:hAnsi="Tahoma" w:cs="Tahoma"/>
          <w:color w:val="002060"/>
          <w:sz w:val="24"/>
          <w:szCs w:val="24"/>
        </w:rPr>
        <w:t>,</w:t>
      </w:r>
      <w:r w:rsidRPr="00D34F16">
        <w:rPr>
          <w:rFonts w:ascii="Tahoma" w:hAnsi="Tahoma" w:cs="Tahoma"/>
          <w:color w:val="002060"/>
          <w:sz w:val="24"/>
          <w:szCs w:val="24"/>
        </w:rPr>
        <w:t>000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-1:</w:t>
      </w:r>
      <w:r w:rsidR="00D64590" w:rsidRPr="00D34F16">
        <w:rPr>
          <w:rFonts w:ascii="Tahoma" w:hAnsi="Tahoma" w:cs="Tahoma"/>
          <w:color w:val="002060"/>
          <w:sz w:val="24"/>
          <w:szCs w:val="24"/>
        </w:rPr>
        <w:t>5</w:t>
      </w:r>
      <w:r w:rsidR="00512EAF" w:rsidRPr="00D34F16">
        <w:rPr>
          <w:rFonts w:ascii="Tahoma" w:hAnsi="Tahoma" w:cs="Tahoma"/>
          <w:color w:val="002060"/>
          <w:sz w:val="24"/>
          <w:szCs w:val="24"/>
        </w:rPr>
        <w:t>,</w:t>
      </w:r>
      <w:r w:rsidR="00204D5A" w:rsidRPr="00D34F16">
        <w:rPr>
          <w:rFonts w:ascii="Tahoma" w:hAnsi="Tahoma" w:cs="Tahoma"/>
          <w:color w:val="002060"/>
          <w:sz w:val="24"/>
          <w:szCs w:val="24"/>
        </w:rPr>
        <w:t>000 of long term sequalae)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.</w:t>
      </w:r>
      <w:r w:rsidR="004A7675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 xml:space="preserve">5, </w:t>
      </w:r>
      <w:r w:rsidR="00204D5A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>6, 8</w:t>
      </w:r>
      <w:r w:rsidR="00C50F9B" w:rsidRPr="00D34F16">
        <w:rPr>
          <w:rFonts w:ascii="Tahoma" w:hAnsi="Tahoma" w:cs="Tahoma"/>
          <w:color w:val="002060"/>
          <w:sz w:val="24"/>
          <w:szCs w:val="24"/>
          <w:vertAlign w:val="superscript"/>
        </w:rPr>
        <w:t xml:space="preserve"> 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The document design allows for use in </w:t>
      </w:r>
      <w:r w:rsidR="00512EAF" w:rsidRPr="00D34F16">
        <w:rPr>
          <w:rFonts w:ascii="Tahoma" w:hAnsi="Tahoma" w:cs="Tahoma"/>
          <w:color w:val="002060"/>
          <w:sz w:val="24"/>
          <w:szCs w:val="24"/>
        </w:rPr>
        <w:t>its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current form </w:t>
      </w:r>
      <w:r w:rsidR="00A017FF" w:rsidRPr="00D34F16">
        <w:rPr>
          <w:rFonts w:ascii="Tahoma" w:hAnsi="Tahoma" w:cs="Tahoma"/>
          <w:color w:val="002060"/>
          <w:sz w:val="24"/>
          <w:szCs w:val="24"/>
        </w:rPr>
        <w:t xml:space="preserve">as a sticker to be added to an anaesthetic chart. 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Alternatively</w:t>
      </w:r>
      <w:r w:rsidR="0064310C" w:rsidRPr="00D34F16">
        <w:rPr>
          <w:rFonts w:ascii="Tahoma" w:hAnsi="Tahoma" w:cs="Tahoma"/>
          <w:color w:val="002060"/>
          <w:sz w:val="24"/>
          <w:szCs w:val="24"/>
        </w:rPr>
        <w:t>,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 xml:space="preserve"> it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can be adapted to local preferences </w:t>
      </w:r>
      <w:r w:rsidR="00A017FF" w:rsidRPr="00D34F16">
        <w:rPr>
          <w:rFonts w:ascii="Tahoma" w:hAnsi="Tahoma" w:cs="Tahoma"/>
          <w:color w:val="002060"/>
          <w:sz w:val="24"/>
          <w:szCs w:val="24"/>
        </w:rPr>
        <w:t xml:space="preserve">and 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>to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 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>align wit</w:t>
      </w:r>
      <w:r w:rsidR="00C50F9B" w:rsidRPr="00D34F16">
        <w:rPr>
          <w:rFonts w:ascii="Tahoma" w:hAnsi="Tahoma" w:cs="Tahoma"/>
          <w:color w:val="002060"/>
          <w:sz w:val="24"/>
          <w:szCs w:val="24"/>
        </w:rPr>
        <w:t xml:space="preserve">h local paperwork </w:t>
      </w:r>
      <w:r w:rsidR="00876FE2" w:rsidRPr="00D34F16">
        <w:rPr>
          <w:rFonts w:ascii="Tahoma" w:hAnsi="Tahoma" w:cs="Tahoma"/>
          <w:color w:val="002060"/>
          <w:sz w:val="24"/>
          <w:szCs w:val="24"/>
        </w:rPr>
        <w:t xml:space="preserve">including incorporation </w:t>
      </w:r>
      <w:r w:rsidR="00347AB7" w:rsidRPr="00D34F16">
        <w:rPr>
          <w:rFonts w:ascii="Tahoma" w:hAnsi="Tahoma" w:cs="Tahoma"/>
          <w:color w:val="002060"/>
          <w:sz w:val="24"/>
          <w:szCs w:val="24"/>
        </w:rPr>
        <w:t>into the anaesthetic chart</w:t>
      </w:r>
      <w:r w:rsidR="0064310C" w:rsidRPr="00D34F16">
        <w:rPr>
          <w:rFonts w:ascii="Tahoma" w:hAnsi="Tahoma" w:cs="Tahoma"/>
          <w:color w:val="002060"/>
          <w:sz w:val="24"/>
          <w:szCs w:val="24"/>
        </w:rPr>
        <w:t xml:space="preserve"> or electronic record</w:t>
      </w:r>
      <w:r w:rsidR="00876FE2" w:rsidRPr="00D34F16">
        <w:rPr>
          <w:rFonts w:ascii="Tahoma" w:hAnsi="Tahoma" w:cs="Tahoma"/>
          <w:color w:val="002060"/>
          <w:sz w:val="24"/>
          <w:szCs w:val="24"/>
        </w:rPr>
        <w:t>.</w:t>
      </w:r>
    </w:p>
    <w:p w14:paraId="1DBF4175" w14:textId="4D3EDAC7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7F5BE3C0" w14:textId="033D2654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5BF41571" w14:textId="3DE78158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7559F005" w14:textId="1659F4F8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14177908" w14:textId="638ADE74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6184EAF8" w14:textId="43371C56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3446ECD4" w14:textId="1FF855D6" w:rsid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p w14:paraId="421A42E4" w14:textId="77777777" w:rsidR="00304FB6" w:rsidRPr="00304FB6" w:rsidRDefault="00304FB6" w:rsidP="003B546D">
      <w:pPr>
        <w:rPr>
          <w:rFonts w:ascii="Tahoma" w:hAnsi="Tahoma" w:cs="Tahoma"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2032"/>
        <w:gridCol w:w="2740"/>
        <w:gridCol w:w="73"/>
      </w:tblGrid>
      <w:tr w:rsidR="00304FB6" w:rsidRPr="00D34F16" w14:paraId="564086B3" w14:textId="77777777" w:rsidTr="00304FB6">
        <w:trPr>
          <w:trHeight w:val="427"/>
        </w:trPr>
        <w:tc>
          <w:tcPr>
            <w:tcW w:w="6845" w:type="dxa"/>
            <w:gridSpan w:val="4"/>
          </w:tcPr>
          <w:p w14:paraId="3B30B29A" w14:textId="70C89982" w:rsidR="00D34F16" w:rsidRPr="00D34F16" w:rsidRDefault="00D34F16" w:rsidP="00D34F16">
            <w:pPr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b/>
                <w:sz w:val="24"/>
                <w:szCs w:val="24"/>
              </w:rPr>
              <w:lastRenderedPageBreak/>
              <w:t xml:space="preserve">Peripheral </w:t>
            </w:r>
            <w:proofErr w:type="gramStart"/>
            <w:r w:rsidRPr="00D34F16">
              <w:rPr>
                <w:rFonts w:cstheme="minorHAnsi"/>
                <w:b/>
                <w:sz w:val="24"/>
                <w:szCs w:val="24"/>
              </w:rPr>
              <w:t>Block..</w:t>
            </w:r>
            <w:proofErr w:type="gramEnd"/>
            <w:r w:rsidRPr="00D34F16">
              <w:rPr>
                <w:rFonts w:cstheme="minorHAnsi"/>
                <w:sz w:val="24"/>
                <w:szCs w:val="24"/>
              </w:rPr>
              <w:t>…………………………………………</w:t>
            </w:r>
            <w:r w:rsidR="00304FB6">
              <w:rPr>
                <w:rFonts w:cstheme="minorHAnsi"/>
                <w:sz w:val="24"/>
                <w:szCs w:val="24"/>
              </w:rPr>
              <w:t>…………..</w:t>
            </w:r>
          </w:p>
        </w:tc>
      </w:tr>
      <w:tr w:rsidR="00304FB6" w:rsidRPr="00D34F16" w14:paraId="33DBCF9F" w14:textId="77777777" w:rsidTr="00304FB6">
        <w:trPr>
          <w:trHeight w:val="552"/>
        </w:trPr>
        <w:tc>
          <w:tcPr>
            <w:tcW w:w="6845" w:type="dxa"/>
            <w:gridSpan w:val="4"/>
          </w:tcPr>
          <w:p w14:paraId="047C692E" w14:textId="04B1A100" w:rsidR="00D34F16" w:rsidRPr="00D34F16" w:rsidRDefault="00D34F16" w:rsidP="00D34F16">
            <w:pPr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Explained to: ……………………………………................</w:t>
            </w:r>
            <w:r w:rsidR="00304FB6">
              <w:rPr>
                <w:rFonts w:cstheme="minorHAnsi"/>
                <w:sz w:val="24"/>
                <w:szCs w:val="24"/>
              </w:rPr>
              <w:t>...........</w:t>
            </w:r>
          </w:p>
        </w:tc>
      </w:tr>
      <w:tr w:rsidR="00304FB6" w:rsidRPr="00D34F16" w14:paraId="5F2A7F6B" w14:textId="77777777" w:rsidTr="00304FB6">
        <w:trPr>
          <w:gridAfter w:val="1"/>
          <w:wAfter w:w="73" w:type="dxa"/>
          <w:trHeight w:val="357"/>
        </w:trPr>
        <w:tc>
          <w:tcPr>
            <w:tcW w:w="4032" w:type="dxa"/>
            <w:gridSpan w:val="2"/>
          </w:tcPr>
          <w:p w14:paraId="12B8CC4C" w14:textId="77777777" w:rsidR="00D34F16" w:rsidRPr="00D34F16" w:rsidRDefault="00D34F16" w:rsidP="00D34F1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Benefits</w:t>
            </w:r>
          </w:p>
        </w:tc>
        <w:tc>
          <w:tcPr>
            <w:tcW w:w="2740" w:type="dxa"/>
          </w:tcPr>
          <w:p w14:paraId="568248AA" w14:textId="77777777" w:rsidR="00D34F16" w:rsidRPr="00D34F16" w:rsidRDefault="00D34F16" w:rsidP="00304FB6">
            <w:pPr>
              <w:pStyle w:val="ListParagraph"/>
              <w:numPr>
                <w:ilvl w:val="0"/>
                <w:numId w:val="11"/>
              </w:numPr>
              <w:ind w:left="546" w:hanging="425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Alternatives</w:t>
            </w:r>
          </w:p>
        </w:tc>
      </w:tr>
      <w:tr w:rsidR="00304FB6" w:rsidRPr="00D34F16" w14:paraId="15E027EF" w14:textId="77777777" w:rsidTr="00304FB6">
        <w:trPr>
          <w:gridAfter w:val="1"/>
          <w:wAfter w:w="73" w:type="dxa"/>
          <w:trHeight w:val="654"/>
        </w:trPr>
        <w:tc>
          <w:tcPr>
            <w:tcW w:w="4032" w:type="dxa"/>
            <w:gridSpan w:val="2"/>
          </w:tcPr>
          <w:p w14:paraId="7C6707A8" w14:textId="1FD93718" w:rsidR="00D34F16" w:rsidRPr="00D34F16" w:rsidRDefault="00D34F16" w:rsidP="00D34F1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Q</w:t>
            </w:r>
            <w:r w:rsidR="00304FB6">
              <w:rPr>
                <w:rFonts w:cstheme="minorHAnsi"/>
                <w:sz w:val="24"/>
                <w:szCs w:val="24"/>
              </w:rPr>
              <w:t>uestion</w:t>
            </w:r>
            <w:r w:rsidRPr="00D34F16">
              <w:rPr>
                <w:rFonts w:cstheme="minorHAnsi"/>
                <w:sz w:val="24"/>
                <w:szCs w:val="24"/>
              </w:rPr>
              <w:t>s answered</w:t>
            </w:r>
          </w:p>
        </w:tc>
        <w:tc>
          <w:tcPr>
            <w:tcW w:w="2740" w:type="dxa"/>
          </w:tcPr>
          <w:p w14:paraId="179DA56E" w14:textId="6C23E91F" w:rsidR="00D34F16" w:rsidRPr="00D34F16" w:rsidRDefault="00304FB6" w:rsidP="00304FB6">
            <w:pPr>
              <w:pStyle w:val="ListParagraph"/>
              <w:numPr>
                <w:ilvl w:val="0"/>
                <w:numId w:val="12"/>
              </w:numPr>
              <w:ind w:left="40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D34F16" w:rsidRPr="00D34F16">
              <w:rPr>
                <w:rFonts w:cstheme="minorHAnsi"/>
                <w:sz w:val="24"/>
                <w:szCs w:val="24"/>
              </w:rPr>
              <w:t>Leaflet given</w:t>
            </w:r>
          </w:p>
        </w:tc>
      </w:tr>
      <w:tr w:rsidR="00304FB6" w:rsidRPr="00D34F16" w14:paraId="2304B211" w14:textId="77777777" w:rsidTr="00304FB6">
        <w:trPr>
          <w:gridAfter w:val="1"/>
          <w:wAfter w:w="73" w:type="dxa"/>
          <w:trHeight w:val="268"/>
        </w:trPr>
        <w:tc>
          <w:tcPr>
            <w:tcW w:w="4032" w:type="dxa"/>
            <w:gridSpan w:val="2"/>
          </w:tcPr>
          <w:p w14:paraId="5368AD6D" w14:textId="77777777" w:rsidR="00D34F16" w:rsidRPr="00D34F16" w:rsidRDefault="00D34F16" w:rsidP="00D34F16">
            <w:pPr>
              <w:rPr>
                <w:rFonts w:cstheme="minorHAnsi"/>
                <w:b/>
                <w:sz w:val="24"/>
                <w:szCs w:val="24"/>
              </w:rPr>
            </w:pPr>
            <w:r w:rsidRPr="00D34F16">
              <w:rPr>
                <w:rFonts w:cstheme="minorHAnsi"/>
                <w:b/>
                <w:sz w:val="24"/>
                <w:szCs w:val="24"/>
              </w:rPr>
              <w:t xml:space="preserve">Risks: </w:t>
            </w:r>
          </w:p>
        </w:tc>
        <w:tc>
          <w:tcPr>
            <w:tcW w:w="2740" w:type="dxa"/>
          </w:tcPr>
          <w:p w14:paraId="71D211E0" w14:textId="77777777" w:rsidR="00D34F16" w:rsidRPr="00D34F16" w:rsidRDefault="00D34F16" w:rsidP="00D34F1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4FB6" w:rsidRPr="00D34F16" w14:paraId="175C42A2" w14:textId="77777777" w:rsidTr="00304FB6">
        <w:trPr>
          <w:gridAfter w:val="1"/>
          <w:wAfter w:w="73" w:type="dxa"/>
          <w:trHeight w:val="380"/>
        </w:trPr>
        <w:tc>
          <w:tcPr>
            <w:tcW w:w="4032" w:type="dxa"/>
            <w:gridSpan w:val="2"/>
          </w:tcPr>
          <w:p w14:paraId="062FFB0A" w14:textId="77777777" w:rsidR="00D34F16" w:rsidRPr="00D34F16" w:rsidRDefault="00D34F16" w:rsidP="00D34F1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Failure</w:t>
            </w:r>
          </w:p>
        </w:tc>
        <w:tc>
          <w:tcPr>
            <w:tcW w:w="2740" w:type="dxa"/>
          </w:tcPr>
          <w:p w14:paraId="79BE5F55" w14:textId="77777777" w:rsidR="00D34F16" w:rsidRPr="00D34F16" w:rsidRDefault="00D34F16" w:rsidP="00D34F16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ind w:left="317" w:hanging="425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LA Toxicity</w:t>
            </w:r>
          </w:p>
        </w:tc>
      </w:tr>
      <w:tr w:rsidR="00304FB6" w:rsidRPr="00D34F16" w14:paraId="08C2F4CC" w14:textId="77777777" w:rsidTr="00304FB6">
        <w:trPr>
          <w:gridAfter w:val="1"/>
          <w:wAfter w:w="73" w:type="dxa"/>
          <w:trHeight w:val="966"/>
        </w:trPr>
        <w:tc>
          <w:tcPr>
            <w:tcW w:w="4032" w:type="dxa"/>
            <w:gridSpan w:val="2"/>
          </w:tcPr>
          <w:p w14:paraId="7CD85903" w14:textId="06E1C8F1" w:rsidR="00304FB6" w:rsidRPr="00304FB6" w:rsidRDefault="00D34F16" w:rsidP="00304FB6">
            <w:pPr>
              <w:pStyle w:val="ListParagraph"/>
              <w:numPr>
                <w:ilvl w:val="0"/>
                <w:numId w:val="14"/>
              </w:numPr>
              <w:ind w:left="360" w:right="-321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Nerve injury:</w:t>
            </w:r>
            <w:r w:rsidR="00304FB6" w:rsidRPr="00D34F16">
              <w:rPr>
                <w:rFonts w:cstheme="minorHAnsi"/>
                <w:sz w:val="24"/>
                <w:szCs w:val="24"/>
              </w:rPr>
              <w:t xml:space="preserve"> </w:t>
            </w:r>
            <w:r w:rsidR="00304FB6" w:rsidRPr="00D34F16">
              <w:rPr>
                <w:rFonts w:cstheme="minorHAnsi"/>
                <w:sz w:val="24"/>
                <w:szCs w:val="24"/>
              </w:rPr>
              <w:t>temporary/permanent</w:t>
            </w:r>
          </w:p>
          <w:p w14:paraId="67015898" w14:textId="77777777" w:rsidR="00304FB6" w:rsidRPr="00304FB6" w:rsidRDefault="00304FB6" w:rsidP="00304FB6">
            <w:pPr>
              <w:ind w:left="360" w:right="-321"/>
              <w:rPr>
                <w:rFonts w:cstheme="minorHAnsi"/>
                <w:sz w:val="10"/>
                <w:szCs w:val="10"/>
              </w:rPr>
            </w:pPr>
          </w:p>
          <w:p w14:paraId="4974F2FA" w14:textId="548AAC50" w:rsidR="00D34F16" w:rsidRPr="00D34F16" w:rsidRDefault="00304FB6" w:rsidP="00304FB6">
            <w:pPr>
              <w:pStyle w:val="ListParagraph"/>
              <w:numPr>
                <w:ilvl w:val="0"/>
                <w:numId w:val="14"/>
              </w:numPr>
              <w:ind w:left="360" w:right="-321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Block specific</w:t>
            </w:r>
            <w:r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  <w:tc>
          <w:tcPr>
            <w:tcW w:w="2740" w:type="dxa"/>
          </w:tcPr>
          <w:p w14:paraId="0C44C1A1" w14:textId="44C4FF80" w:rsidR="00304FB6" w:rsidRDefault="00304FB6" w:rsidP="00304FB6">
            <w:pPr>
              <w:ind w:lef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……………………….</w:t>
            </w:r>
          </w:p>
          <w:p w14:paraId="269A4E84" w14:textId="215498D0" w:rsidR="00D34F16" w:rsidRPr="00D34F16" w:rsidRDefault="00D34F16" w:rsidP="00304FB6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304FB6" w:rsidRPr="00D34F16" w14:paraId="16F1A1AC" w14:textId="77777777" w:rsidTr="00304FB6">
        <w:trPr>
          <w:gridAfter w:val="1"/>
          <w:wAfter w:w="73" w:type="dxa"/>
          <w:trHeight w:val="351"/>
        </w:trPr>
        <w:tc>
          <w:tcPr>
            <w:tcW w:w="2000" w:type="dxa"/>
          </w:tcPr>
          <w:p w14:paraId="3A35FD97" w14:textId="77777777" w:rsidR="00D34F16" w:rsidRPr="00D34F16" w:rsidRDefault="00D34F16" w:rsidP="00D34F16">
            <w:pPr>
              <w:rPr>
                <w:rFonts w:cstheme="minorHAnsi"/>
                <w:b/>
                <w:sz w:val="24"/>
                <w:szCs w:val="24"/>
              </w:rPr>
            </w:pPr>
            <w:r w:rsidRPr="00D34F16">
              <w:rPr>
                <w:rFonts w:cstheme="minorHAnsi"/>
                <w:b/>
                <w:sz w:val="24"/>
                <w:szCs w:val="24"/>
              </w:rPr>
              <w:t xml:space="preserve">Post Block: </w:t>
            </w:r>
          </w:p>
        </w:tc>
        <w:tc>
          <w:tcPr>
            <w:tcW w:w="2032" w:type="dxa"/>
          </w:tcPr>
          <w:p w14:paraId="444E6EA2" w14:textId="77777777" w:rsidR="00D34F16" w:rsidRPr="00D34F16" w:rsidRDefault="00D34F16" w:rsidP="00304FB6">
            <w:pPr>
              <w:pStyle w:val="ListParagraph"/>
              <w:numPr>
                <w:ilvl w:val="0"/>
                <w:numId w:val="20"/>
              </w:numPr>
              <w:ind w:left="310" w:hanging="310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Pain relief</w:t>
            </w:r>
          </w:p>
        </w:tc>
        <w:tc>
          <w:tcPr>
            <w:tcW w:w="2740" w:type="dxa"/>
          </w:tcPr>
          <w:p w14:paraId="0FF72275" w14:textId="77777777" w:rsidR="00D34F16" w:rsidRPr="00D34F16" w:rsidRDefault="00D34F16" w:rsidP="00D34F16">
            <w:pPr>
              <w:pStyle w:val="ListParagraph"/>
              <w:numPr>
                <w:ilvl w:val="0"/>
                <w:numId w:val="20"/>
              </w:numPr>
              <w:ind w:left="175" w:hanging="283"/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Care of limb</w:t>
            </w:r>
          </w:p>
        </w:tc>
      </w:tr>
      <w:tr w:rsidR="00304FB6" w:rsidRPr="00D34F16" w14:paraId="356B24E4" w14:textId="77777777" w:rsidTr="00304FB6">
        <w:trPr>
          <w:trHeight w:val="315"/>
        </w:trPr>
        <w:tc>
          <w:tcPr>
            <w:tcW w:w="6845" w:type="dxa"/>
            <w:gridSpan w:val="4"/>
          </w:tcPr>
          <w:p w14:paraId="4ED3FBAE" w14:textId="7E7BDC8A" w:rsidR="00D34F16" w:rsidRPr="00D34F16" w:rsidRDefault="00D34F16" w:rsidP="00D34F16">
            <w:pPr>
              <w:rPr>
                <w:rFonts w:cstheme="minorHAnsi"/>
                <w:sz w:val="24"/>
                <w:szCs w:val="24"/>
              </w:rPr>
            </w:pPr>
            <w:r w:rsidRPr="00D34F16">
              <w:rPr>
                <w:rFonts w:cstheme="minorHAnsi"/>
                <w:sz w:val="24"/>
                <w:szCs w:val="24"/>
              </w:rPr>
              <w:t>Comments</w:t>
            </w:r>
            <w:r w:rsidR="00304FB6">
              <w:rPr>
                <w:rFonts w:cstheme="minorHAnsi"/>
                <w:sz w:val="24"/>
                <w:szCs w:val="24"/>
              </w:rPr>
              <w:t>……………………………………………………………………</w:t>
            </w:r>
          </w:p>
        </w:tc>
      </w:tr>
    </w:tbl>
    <w:p w14:paraId="3423994A" w14:textId="3DD7A345" w:rsidR="00512EAF" w:rsidRPr="00D34F16" w:rsidRDefault="00512EAF" w:rsidP="00D34F16">
      <w:pPr>
        <w:spacing w:line="240" w:lineRule="auto"/>
        <w:rPr>
          <w:rFonts w:cstheme="minorHAnsi"/>
          <w:b/>
          <w:sz w:val="24"/>
          <w:szCs w:val="24"/>
        </w:rPr>
      </w:pPr>
    </w:p>
    <w:p w14:paraId="5FD2F6D5" w14:textId="77777777" w:rsidR="00512EAF" w:rsidRPr="00D34F16" w:rsidRDefault="00512EAF" w:rsidP="00204D5A">
      <w:pPr>
        <w:rPr>
          <w:rFonts w:cstheme="minorHAnsi"/>
          <w:b/>
          <w:sz w:val="24"/>
          <w:szCs w:val="24"/>
        </w:rPr>
      </w:pPr>
    </w:p>
    <w:p w14:paraId="0F51DF7C" w14:textId="77777777" w:rsidR="00E44137" w:rsidRPr="00D34F16" w:rsidRDefault="00E44137" w:rsidP="00512EAF">
      <w:pPr>
        <w:rPr>
          <w:rFonts w:cstheme="minorHAnsi"/>
          <w:b/>
          <w:sz w:val="24"/>
          <w:szCs w:val="24"/>
        </w:rPr>
      </w:pPr>
    </w:p>
    <w:p w14:paraId="39FABD35" w14:textId="77777777" w:rsidR="00512EAF" w:rsidRPr="00D34F16" w:rsidRDefault="00512EAF" w:rsidP="00204D5A">
      <w:pPr>
        <w:rPr>
          <w:rFonts w:cstheme="minorHAnsi"/>
          <w:b/>
          <w:sz w:val="24"/>
          <w:szCs w:val="24"/>
        </w:rPr>
      </w:pPr>
    </w:p>
    <w:p w14:paraId="60D9AC7B" w14:textId="77777777" w:rsidR="00D34F16" w:rsidRPr="00D34F16" w:rsidRDefault="00D34F16" w:rsidP="00204D5A">
      <w:pPr>
        <w:rPr>
          <w:rFonts w:cstheme="minorHAnsi"/>
          <w:b/>
          <w:sz w:val="24"/>
          <w:szCs w:val="24"/>
        </w:rPr>
      </w:pPr>
    </w:p>
    <w:p w14:paraId="2E260DF0" w14:textId="77777777" w:rsidR="00D34F16" w:rsidRPr="00D34F16" w:rsidRDefault="00D34F16" w:rsidP="00204D5A">
      <w:pPr>
        <w:rPr>
          <w:rFonts w:cstheme="minorHAnsi"/>
          <w:b/>
          <w:sz w:val="24"/>
          <w:szCs w:val="24"/>
        </w:rPr>
      </w:pPr>
    </w:p>
    <w:p w14:paraId="3F6BD5AF" w14:textId="77777777" w:rsidR="00D34F16" w:rsidRPr="00D34F16" w:rsidRDefault="00D34F16" w:rsidP="00204D5A">
      <w:pPr>
        <w:rPr>
          <w:rFonts w:cstheme="minorHAnsi"/>
          <w:b/>
          <w:sz w:val="24"/>
          <w:szCs w:val="24"/>
        </w:rPr>
      </w:pPr>
    </w:p>
    <w:p w14:paraId="17036415" w14:textId="77777777" w:rsidR="00D34F16" w:rsidRDefault="00D34F16" w:rsidP="00204D5A">
      <w:pPr>
        <w:rPr>
          <w:rFonts w:cstheme="minorHAnsi"/>
          <w:b/>
        </w:rPr>
      </w:pPr>
    </w:p>
    <w:p w14:paraId="1C3806DE" w14:textId="77777777" w:rsidR="00304FB6" w:rsidRDefault="00304FB6" w:rsidP="00204D5A">
      <w:pPr>
        <w:rPr>
          <w:rFonts w:ascii="Trebuchet MS" w:hAnsi="Trebuchet MS" w:cstheme="minorHAnsi"/>
          <w:b/>
          <w:color w:val="4472C4" w:themeColor="accent1"/>
        </w:rPr>
      </w:pPr>
    </w:p>
    <w:p w14:paraId="4F46C588" w14:textId="77777777" w:rsidR="00304FB6" w:rsidRDefault="00304FB6" w:rsidP="00204D5A">
      <w:pPr>
        <w:rPr>
          <w:rFonts w:ascii="Trebuchet MS" w:hAnsi="Trebuchet MS" w:cstheme="minorHAnsi"/>
          <w:b/>
          <w:color w:val="4472C4" w:themeColor="accent1"/>
        </w:rPr>
      </w:pPr>
    </w:p>
    <w:p w14:paraId="2C746B94" w14:textId="77777777" w:rsidR="00304FB6" w:rsidRDefault="00304FB6" w:rsidP="00204D5A">
      <w:pPr>
        <w:rPr>
          <w:rFonts w:ascii="Trebuchet MS" w:hAnsi="Trebuchet MS" w:cstheme="minorHAnsi"/>
          <w:b/>
          <w:color w:val="4472C4" w:themeColor="accent1"/>
        </w:rPr>
      </w:pPr>
    </w:p>
    <w:p w14:paraId="1E837D0A" w14:textId="13A7EE7A" w:rsidR="00204D5A" w:rsidRPr="00D34F16" w:rsidRDefault="00204D5A" w:rsidP="00204D5A">
      <w:pPr>
        <w:rPr>
          <w:rFonts w:ascii="Trebuchet MS" w:hAnsi="Trebuchet MS" w:cstheme="minorHAnsi"/>
          <w:b/>
          <w:color w:val="4472C4" w:themeColor="accent1"/>
        </w:rPr>
      </w:pPr>
      <w:r w:rsidRPr="00D34F16">
        <w:rPr>
          <w:rFonts w:ascii="Trebuchet MS" w:hAnsi="Trebuchet MS" w:cstheme="minorHAnsi"/>
          <w:b/>
          <w:color w:val="4472C4" w:themeColor="accent1"/>
        </w:rPr>
        <w:t>References</w:t>
      </w:r>
    </w:p>
    <w:p w14:paraId="2ED77ACE" w14:textId="5E8F9FF2" w:rsidR="00204D5A" w:rsidRPr="00D34F16" w:rsidRDefault="00876FE2" w:rsidP="00204D5A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r w:rsidRPr="00D34F16">
        <w:rPr>
          <w:rFonts w:ascii="Tahoma" w:hAnsi="Tahoma" w:cs="Tahoma"/>
          <w:color w:val="002060"/>
          <w:sz w:val="24"/>
          <w:szCs w:val="24"/>
        </w:rPr>
        <w:t>Pearson</w:t>
      </w:r>
      <w:r w:rsidR="00D51C6D" w:rsidRPr="00D34F16">
        <w:rPr>
          <w:rFonts w:ascii="Tahoma" w:hAnsi="Tahoma" w:cs="Tahoma"/>
          <w:color w:val="002060"/>
          <w:sz w:val="24"/>
          <w:szCs w:val="24"/>
        </w:rPr>
        <w:t xml:space="preserve"> AME, </w:t>
      </w:r>
      <w:r w:rsidRPr="00D34F16">
        <w:rPr>
          <w:rFonts w:ascii="Tahoma" w:hAnsi="Tahoma" w:cs="Tahoma"/>
          <w:color w:val="002060"/>
          <w:sz w:val="24"/>
          <w:szCs w:val="24"/>
        </w:rPr>
        <w:t>Roberts</w:t>
      </w:r>
      <w:r w:rsidR="00D51C6D" w:rsidRPr="00D34F16">
        <w:rPr>
          <w:rFonts w:ascii="Tahoma" w:hAnsi="Tahoma" w:cs="Tahoma"/>
          <w:color w:val="002060"/>
          <w:sz w:val="24"/>
          <w:szCs w:val="24"/>
        </w:rPr>
        <w:t xml:space="preserve"> S, </w:t>
      </w:r>
      <w:r w:rsidRPr="00D34F16">
        <w:rPr>
          <w:rFonts w:ascii="Tahoma" w:hAnsi="Tahoma" w:cs="Tahoma"/>
          <w:color w:val="002060"/>
          <w:sz w:val="24"/>
          <w:szCs w:val="24"/>
        </w:rPr>
        <w:t>Turbitt</w:t>
      </w:r>
      <w:r w:rsidR="00D51C6D" w:rsidRPr="00D34F16">
        <w:rPr>
          <w:rFonts w:ascii="Tahoma" w:hAnsi="Tahoma" w:cs="Tahoma"/>
          <w:color w:val="002060"/>
          <w:sz w:val="24"/>
          <w:szCs w:val="24"/>
        </w:rPr>
        <w:t xml:space="preserve"> LR</w:t>
      </w:r>
      <w:r w:rsidRPr="00D34F16">
        <w:rPr>
          <w:rFonts w:ascii="Tahoma" w:hAnsi="Tahoma" w:cs="Tahoma"/>
          <w:color w:val="002060"/>
          <w:sz w:val="24"/>
          <w:szCs w:val="24"/>
        </w:rPr>
        <w:t>, New blocks on the kids: core basic nerve blocks in paediatric anaesthesia, Anaesthesia</w:t>
      </w:r>
      <w:r w:rsidR="00F5490E" w:rsidRPr="00D34F16">
        <w:rPr>
          <w:rFonts w:ascii="Tahoma" w:hAnsi="Tahoma" w:cs="Tahoma"/>
          <w:color w:val="002060"/>
          <w:sz w:val="24"/>
          <w:szCs w:val="24"/>
        </w:rPr>
        <w:t xml:space="preserve">, 2023, 78:3-8. </w:t>
      </w:r>
    </w:p>
    <w:p w14:paraId="77BC5BE5" w14:textId="2FDD6D9F" w:rsidR="00204D5A" w:rsidRPr="00D34F16" w:rsidRDefault="00204D5A" w:rsidP="00204D5A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Yentis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SM, </w:t>
      </w: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Hartle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AJ, Barker IR et al, AAGBI: consent for anaesthesia 2017, Anaesthesia</w:t>
      </w:r>
      <w:r w:rsidR="00F5490E" w:rsidRPr="00D34F16">
        <w:rPr>
          <w:rFonts w:ascii="Tahoma" w:hAnsi="Tahoma" w:cs="Tahoma"/>
          <w:color w:val="002060"/>
          <w:sz w:val="24"/>
          <w:szCs w:val="24"/>
        </w:rPr>
        <w:t xml:space="preserve"> 2017, </w:t>
      </w:r>
      <w:r w:rsidRPr="00D34F16">
        <w:rPr>
          <w:rFonts w:ascii="Tahoma" w:hAnsi="Tahoma" w:cs="Tahoma"/>
          <w:color w:val="002060"/>
          <w:sz w:val="24"/>
          <w:szCs w:val="24"/>
        </w:rPr>
        <w:t>72</w:t>
      </w:r>
      <w:r w:rsidR="00F5490E" w:rsidRPr="00D34F16">
        <w:rPr>
          <w:rFonts w:ascii="Tahoma" w:hAnsi="Tahoma" w:cs="Tahoma"/>
          <w:color w:val="002060"/>
          <w:sz w:val="24"/>
          <w:szCs w:val="24"/>
        </w:rPr>
        <w:t>: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93-105 </w:t>
      </w:r>
    </w:p>
    <w:p w14:paraId="68E94387" w14:textId="38016EFC" w:rsidR="00204D5A" w:rsidRPr="00D34F16" w:rsidRDefault="00204D5A" w:rsidP="00204D5A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Sardesi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A, French J, </w:t>
      </w: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Pawa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>, A patient cons</w:t>
      </w:r>
      <w:r w:rsidR="00F5490E" w:rsidRPr="00D34F16">
        <w:rPr>
          <w:rFonts w:ascii="Tahoma" w:hAnsi="Tahoma" w:cs="Tahoma"/>
          <w:color w:val="002060"/>
          <w:sz w:val="24"/>
          <w:szCs w:val="24"/>
        </w:rPr>
        <w:t>ent for peripheral nerve blocks, A</w:t>
      </w:r>
      <w:r w:rsidRPr="00D34F16">
        <w:rPr>
          <w:rFonts w:ascii="Tahoma" w:hAnsi="Tahoma" w:cs="Tahoma"/>
          <w:color w:val="002060"/>
          <w:sz w:val="24"/>
          <w:szCs w:val="24"/>
        </w:rPr>
        <w:t>vailable online [https://www.ra-uk.org/index.php/guidelines-standards/5-guidelines/detail/255-patient-consent-for-peripheral-nerve-blocks]</w:t>
      </w:r>
      <w:r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 </w:t>
      </w:r>
    </w:p>
    <w:p w14:paraId="15FD9680" w14:textId="5B70F1F7" w:rsidR="00204D5A" w:rsidRPr="00D34F16" w:rsidRDefault="00204D5A" w:rsidP="00204D5A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Dadure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C, </w:t>
      </w: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Veyckemans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F, </w:t>
      </w: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Bringuier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S, </w:t>
      </w:r>
      <w:proofErr w:type="spellStart"/>
      <w:r w:rsidRPr="00D34F16">
        <w:rPr>
          <w:rFonts w:ascii="Tahoma" w:hAnsi="Tahoma" w:cs="Tahoma"/>
          <w:color w:val="002060"/>
          <w:sz w:val="24"/>
          <w:szCs w:val="24"/>
        </w:rPr>
        <w:t>Habre</w:t>
      </w:r>
      <w:proofErr w:type="spellEnd"/>
      <w:r w:rsidRPr="00D34F16">
        <w:rPr>
          <w:rFonts w:ascii="Tahoma" w:hAnsi="Tahoma" w:cs="Tahoma"/>
          <w:color w:val="002060"/>
          <w:sz w:val="24"/>
          <w:szCs w:val="24"/>
        </w:rPr>
        <w:t xml:space="preserve"> W, Epidemiology of regional anaesthesia: lessons learned from the European Multi-Institutional Study APRICOT, Paediatric anaesthesia</w:t>
      </w:r>
      <w:r w:rsidR="00F5490E" w:rsidRPr="00D34F16">
        <w:rPr>
          <w:rFonts w:ascii="Tahoma" w:hAnsi="Tahoma" w:cs="Tahoma"/>
          <w:color w:val="002060"/>
          <w:sz w:val="24"/>
          <w:szCs w:val="24"/>
        </w:rPr>
        <w:t>, 2019, 29:</w:t>
      </w:r>
      <w:r w:rsidRPr="00D34F16">
        <w:rPr>
          <w:rFonts w:ascii="Tahoma" w:hAnsi="Tahoma" w:cs="Tahoma"/>
          <w:color w:val="002060"/>
          <w:sz w:val="24"/>
          <w:szCs w:val="24"/>
        </w:rPr>
        <w:t>1128- 1135</w:t>
      </w:r>
    </w:p>
    <w:p w14:paraId="4ED2A906" w14:textId="3C3B40D3" w:rsidR="00204D5A" w:rsidRPr="00D34F16" w:rsidRDefault="00204D5A" w:rsidP="00204D5A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r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Coffey C, Lacroix F, </w:t>
      </w:r>
      <w:proofErr w:type="spellStart"/>
      <w:r w:rsidRPr="00D34F16">
        <w:rPr>
          <w:rFonts w:ascii="Tahoma" w:eastAsia="Times New Roman" w:hAnsi="Tahoma" w:cs="Tahoma"/>
          <w:color w:val="002060"/>
          <w:sz w:val="24"/>
          <w:szCs w:val="24"/>
        </w:rPr>
        <w:t>Giaufré</w:t>
      </w:r>
      <w:proofErr w:type="spellEnd"/>
      <w:r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 E et al. </w:t>
      </w:r>
      <w:r w:rsidRPr="00D34F16">
        <w:rPr>
          <w:rFonts w:ascii="Tahoma" w:eastAsia="Times New Roman" w:hAnsi="Tahoma" w:cs="Tahoma"/>
          <w:bCs/>
          <w:color w:val="002060"/>
          <w:sz w:val="24"/>
          <w:szCs w:val="24"/>
        </w:rPr>
        <w:t xml:space="preserve">Epidemiology and morbidity of regional </w:t>
      </w:r>
      <w:proofErr w:type="spellStart"/>
      <w:r w:rsidRPr="00D34F16">
        <w:rPr>
          <w:rFonts w:ascii="Tahoma" w:eastAsia="Times New Roman" w:hAnsi="Tahoma" w:cs="Tahoma"/>
          <w:bCs/>
          <w:color w:val="002060"/>
          <w:sz w:val="24"/>
          <w:szCs w:val="24"/>
        </w:rPr>
        <w:t>anesthesia</w:t>
      </w:r>
      <w:proofErr w:type="spellEnd"/>
      <w:r w:rsidRPr="00D34F16">
        <w:rPr>
          <w:rFonts w:ascii="Tahoma" w:eastAsia="Times New Roman" w:hAnsi="Tahoma" w:cs="Tahoma"/>
          <w:bCs/>
          <w:color w:val="002060"/>
          <w:sz w:val="24"/>
          <w:szCs w:val="24"/>
        </w:rPr>
        <w:t xml:space="preserve"> in children: a follow-up one-year prospective survey of the French-Language Society of Paediatr</w:t>
      </w:r>
      <w:r w:rsidR="00F5490E" w:rsidRPr="00D34F16">
        <w:rPr>
          <w:rFonts w:ascii="Tahoma" w:eastAsia="Times New Roman" w:hAnsi="Tahoma" w:cs="Tahoma"/>
          <w:bCs/>
          <w:color w:val="002060"/>
          <w:sz w:val="24"/>
          <w:szCs w:val="24"/>
        </w:rPr>
        <w:t xml:space="preserve">ic Anaesthesiologists (ADARPEF), </w:t>
      </w:r>
      <w:r w:rsidRPr="00D34F16">
        <w:rPr>
          <w:rFonts w:ascii="Tahoma" w:eastAsia="Times New Roman" w:hAnsi="Tahoma" w:cs="Tahoma"/>
          <w:iCs/>
          <w:color w:val="002060"/>
          <w:sz w:val="24"/>
          <w:szCs w:val="24"/>
        </w:rPr>
        <w:t>Paediatric Anaesthesia</w:t>
      </w:r>
      <w:r w:rsidR="00F5490E"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, 2010, </w:t>
      </w:r>
      <w:r w:rsidRPr="00D34F16">
        <w:rPr>
          <w:rFonts w:ascii="Tahoma" w:eastAsia="Times New Roman" w:hAnsi="Tahoma" w:cs="Tahoma"/>
          <w:bCs/>
          <w:color w:val="002060"/>
          <w:sz w:val="24"/>
          <w:szCs w:val="24"/>
        </w:rPr>
        <w:t>20</w:t>
      </w:r>
      <w:r w:rsidRPr="00D34F16">
        <w:rPr>
          <w:rFonts w:ascii="Tahoma" w:eastAsia="Times New Roman" w:hAnsi="Tahoma" w:cs="Tahoma"/>
          <w:color w:val="002060"/>
          <w:sz w:val="24"/>
          <w:szCs w:val="24"/>
          <w:shd w:val="clear" w:color="auto" w:fill="FFFFFF"/>
        </w:rPr>
        <w:t>: </w:t>
      </w:r>
      <w:r w:rsidRPr="00D34F16">
        <w:rPr>
          <w:rFonts w:ascii="Tahoma" w:eastAsia="Times New Roman" w:hAnsi="Tahoma" w:cs="Tahoma"/>
          <w:color w:val="002060"/>
          <w:sz w:val="24"/>
          <w:szCs w:val="24"/>
        </w:rPr>
        <w:t>1061-1069</w:t>
      </w:r>
    </w:p>
    <w:p w14:paraId="12FE6476" w14:textId="3C4FC532" w:rsidR="00204D5A" w:rsidRPr="00D34F16" w:rsidRDefault="00D51C6D" w:rsidP="00204D5A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r w:rsidRPr="00D34F16">
        <w:rPr>
          <w:rFonts w:ascii="Tahoma" w:hAnsi="Tahoma" w:cs="Tahoma"/>
          <w:color w:val="002060"/>
          <w:sz w:val="24"/>
          <w:szCs w:val="24"/>
        </w:rPr>
        <w:t>Walker</w:t>
      </w:r>
      <w:r w:rsidR="00F74A92" w:rsidRPr="00D34F16">
        <w:rPr>
          <w:rFonts w:ascii="Tahoma" w:hAnsi="Tahoma" w:cs="Tahoma"/>
          <w:color w:val="002060"/>
          <w:sz w:val="24"/>
          <w:szCs w:val="24"/>
        </w:rPr>
        <w:t xml:space="preserve"> B, </w:t>
      </w:r>
      <w:r w:rsidRPr="00D34F16">
        <w:rPr>
          <w:rFonts w:ascii="Tahoma" w:hAnsi="Tahoma" w:cs="Tahoma"/>
          <w:color w:val="002060"/>
          <w:sz w:val="24"/>
          <w:szCs w:val="24"/>
        </w:rPr>
        <w:t xml:space="preserve">Long </w:t>
      </w:r>
      <w:r w:rsidR="00F74A92" w:rsidRPr="00D34F16">
        <w:rPr>
          <w:rFonts w:ascii="Tahoma" w:hAnsi="Tahoma" w:cs="Tahoma"/>
          <w:color w:val="002060"/>
          <w:sz w:val="24"/>
          <w:szCs w:val="24"/>
        </w:rPr>
        <w:t xml:space="preserve">J, </w:t>
      </w:r>
      <w:proofErr w:type="spellStart"/>
      <w:r w:rsidR="00F5490E" w:rsidRPr="00D34F16">
        <w:rPr>
          <w:rFonts w:ascii="Tahoma" w:hAnsi="Tahoma" w:cs="Tahoma"/>
          <w:color w:val="002060"/>
          <w:sz w:val="24"/>
          <w:szCs w:val="24"/>
        </w:rPr>
        <w:t>Sathyamoorthi</w:t>
      </w:r>
      <w:proofErr w:type="spellEnd"/>
      <w:r w:rsidR="00F5490E" w:rsidRPr="00D34F16">
        <w:rPr>
          <w:rFonts w:ascii="Tahoma" w:hAnsi="Tahoma" w:cs="Tahoma"/>
          <w:color w:val="002060"/>
          <w:sz w:val="24"/>
          <w:szCs w:val="24"/>
        </w:rPr>
        <w:t xml:space="preserve"> M et al, </w:t>
      </w:r>
      <w:r w:rsidR="00F74A92" w:rsidRPr="00D34F16">
        <w:rPr>
          <w:rFonts w:ascii="Tahoma" w:hAnsi="Tahoma" w:cs="Tahoma"/>
          <w:color w:val="002060"/>
          <w:sz w:val="24"/>
          <w:szCs w:val="24"/>
        </w:rPr>
        <w:t>Complications in regional anaesthesia: an analysis of more than 100, 000 blocks from the paediatric regional anaesthesia netw</w:t>
      </w:r>
      <w:r w:rsidR="00F5490E" w:rsidRPr="00D34F16">
        <w:rPr>
          <w:rFonts w:ascii="Tahoma" w:hAnsi="Tahoma" w:cs="Tahoma"/>
          <w:color w:val="002060"/>
          <w:sz w:val="24"/>
          <w:szCs w:val="24"/>
        </w:rPr>
        <w:t>ork, Anaesthesiology, 2018, 129:</w:t>
      </w:r>
      <w:r w:rsidR="00F74A92" w:rsidRPr="00D34F16">
        <w:rPr>
          <w:rFonts w:ascii="Tahoma" w:hAnsi="Tahoma" w:cs="Tahoma"/>
          <w:color w:val="002060"/>
          <w:sz w:val="24"/>
          <w:szCs w:val="24"/>
        </w:rPr>
        <w:t>721-732</w:t>
      </w:r>
    </w:p>
    <w:p w14:paraId="5E3FDDD0" w14:textId="2F2C4D34" w:rsidR="00204D5A" w:rsidRPr="00D34F16" w:rsidRDefault="00DF312A" w:rsidP="00282F79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proofErr w:type="spellStart"/>
      <w:r w:rsidRPr="00D34F16">
        <w:rPr>
          <w:rFonts w:ascii="Tahoma" w:eastAsia="Times New Roman" w:hAnsi="Tahoma" w:cs="Tahoma"/>
          <w:color w:val="002060"/>
          <w:sz w:val="24"/>
          <w:szCs w:val="24"/>
        </w:rPr>
        <w:t>Merella</w:t>
      </w:r>
      <w:proofErr w:type="spellEnd"/>
      <w:r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 F, </w:t>
      </w:r>
      <w:proofErr w:type="spellStart"/>
      <w:r w:rsidRPr="00D34F16">
        <w:rPr>
          <w:rFonts w:ascii="Tahoma" w:eastAsia="Times New Roman" w:hAnsi="Tahoma" w:cs="Tahoma"/>
          <w:color w:val="002060"/>
          <w:sz w:val="24"/>
          <w:szCs w:val="24"/>
        </w:rPr>
        <w:t>Canchi</w:t>
      </w:r>
      <w:proofErr w:type="spellEnd"/>
      <w:r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-Murali N, </w:t>
      </w:r>
      <w:proofErr w:type="spellStart"/>
      <w:r w:rsidRPr="00D34F16">
        <w:rPr>
          <w:rFonts w:ascii="Tahoma" w:eastAsia="Times New Roman" w:hAnsi="Tahoma" w:cs="Tahoma"/>
          <w:color w:val="002060"/>
          <w:sz w:val="24"/>
          <w:szCs w:val="24"/>
        </w:rPr>
        <w:t>Mosetti</w:t>
      </w:r>
      <w:proofErr w:type="spellEnd"/>
      <w:r w:rsidRPr="00D34F16">
        <w:rPr>
          <w:rFonts w:ascii="Tahoma" w:eastAsia="Times New Roman" w:hAnsi="Tahoma" w:cs="Tahoma"/>
          <w:color w:val="002060"/>
          <w:sz w:val="24"/>
          <w:szCs w:val="24"/>
        </w:rPr>
        <w:t xml:space="preserve"> V, General principles of regional anaesthesia in children, BJA education, 2019, 19</w:t>
      </w:r>
      <w:r w:rsidR="00F5490E" w:rsidRPr="00D34F16">
        <w:rPr>
          <w:rFonts w:ascii="Tahoma" w:eastAsia="Times New Roman" w:hAnsi="Tahoma" w:cs="Tahoma"/>
          <w:color w:val="002060"/>
          <w:sz w:val="24"/>
          <w:szCs w:val="24"/>
        </w:rPr>
        <w:t>(10):</w:t>
      </w:r>
      <w:r w:rsidRPr="00D34F16">
        <w:rPr>
          <w:rFonts w:ascii="Tahoma" w:eastAsia="Times New Roman" w:hAnsi="Tahoma" w:cs="Tahoma"/>
          <w:color w:val="002060"/>
          <w:sz w:val="24"/>
          <w:szCs w:val="24"/>
        </w:rPr>
        <w:t>342-348</w:t>
      </w:r>
    </w:p>
    <w:p w14:paraId="5B1B8143" w14:textId="63A1036A" w:rsidR="00010DAF" w:rsidRPr="00304FB6" w:rsidRDefault="00282F79" w:rsidP="00304FB6">
      <w:pPr>
        <w:pStyle w:val="ListParagraph"/>
        <w:numPr>
          <w:ilvl w:val="0"/>
          <w:numId w:val="25"/>
        </w:numPr>
        <w:rPr>
          <w:rFonts w:ascii="Tahoma" w:hAnsi="Tahoma" w:cs="Tahoma"/>
          <w:color w:val="002060"/>
          <w:sz w:val="24"/>
          <w:szCs w:val="24"/>
        </w:rPr>
      </w:pPr>
      <w:r w:rsidRPr="00D34F16">
        <w:rPr>
          <w:rFonts w:ascii="Tahoma" w:hAnsi="Tahoma" w:cs="Tahoma"/>
          <w:color w:val="002060"/>
          <w:sz w:val="24"/>
          <w:szCs w:val="24"/>
        </w:rPr>
        <w:t xml:space="preserve">Royal College of Anaesthetists, Nerve damage associated with peripheral nerve block, </w:t>
      </w:r>
      <w:r w:rsidR="00DF312A" w:rsidRPr="00D34F16">
        <w:rPr>
          <w:rFonts w:ascii="Tahoma" w:hAnsi="Tahoma" w:cs="Tahoma"/>
          <w:color w:val="002060"/>
          <w:sz w:val="24"/>
          <w:szCs w:val="24"/>
        </w:rPr>
        <w:t>Avail</w:t>
      </w:r>
      <w:r w:rsidRPr="00D34F16">
        <w:rPr>
          <w:rFonts w:ascii="Tahoma" w:hAnsi="Tahoma" w:cs="Tahoma"/>
          <w:color w:val="002060"/>
          <w:sz w:val="24"/>
          <w:szCs w:val="24"/>
        </w:rPr>
        <w:t>a</w:t>
      </w:r>
      <w:r w:rsidR="00DF312A" w:rsidRPr="00D34F16">
        <w:rPr>
          <w:rFonts w:ascii="Tahoma" w:hAnsi="Tahoma" w:cs="Tahoma"/>
          <w:color w:val="002060"/>
          <w:sz w:val="24"/>
          <w:szCs w:val="24"/>
        </w:rPr>
        <w:t>ble online [https://www.rcoa.ac.uk/sites/default/files/documents/2022-06/13-NerveDamagePeripheralNB2019web.pdf</w:t>
      </w:r>
      <w:r w:rsidR="00304FB6">
        <w:rPr>
          <w:rFonts w:ascii="Tahoma" w:hAnsi="Tahoma" w:cs="Tahoma"/>
          <w:color w:val="002060"/>
          <w:sz w:val="24"/>
          <w:szCs w:val="24"/>
        </w:rPr>
        <w:t>]</w:t>
      </w:r>
    </w:p>
    <w:p w14:paraId="71592D9E" w14:textId="0537F812" w:rsidR="00010DAF" w:rsidRDefault="00010DAF">
      <w:pPr>
        <w:rPr>
          <w:rFonts w:cstheme="minorHAnsi"/>
        </w:rPr>
      </w:pPr>
    </w:p>
    <w:p w14:paraId="4F346CC8" w14:textId="293E0EDF" w:rsidR="00010DAF" w:rsidRDefault="00010DAF">
      <w:pPr>
        <w:rPr>
          <w:rFonts w:cstheme="minorHAnsi"/>
        </w:rPr>
      </w:pPr>
    </w:p>
    <w:p w14:paraId="3447B47D" w14:textId="77777777" w:rsidR="00D34E81" w:rsidRPr="00512EAF" w:rsidRDefault="00D34E81">
      <w:pPr>
        <w:rPr>
          <w:rFonts w:cstheme="minorHAnsi"/>
        </w:rPr>
      </w:pPr>
    </w:p>
    <w:sectPr w:rsidR="00D34E81" w:rsidRPr="00512EA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0D75" w14:textId="77777777" w:rsidR="00497E78" w:rsidRDefault="00497E78" w:rsidP="00D34F16">
      <w:pPr>
        <w:spacing w:after="0" w:line="240" w:lineRule="auto"/>
      </w:pPr>
      <w:r>
        <w:separator/>
      </w:r>
    </w:p>
  </w:endnote>
  <w:endnote w:type="continuationSeparator" w:id="0">
    <w:p w14:paraId="46D0D8CE" w14:textId="77777777" w:rsidR="00497E78" w:rsidRDefault="00497E78" w:rsidP="00D3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FA7C" w14:textId="77777777" w:rsidR="00497E78" w:rsidRDefault="00497E78" w:rsidP="00D34F16">
      <w:pPr>
        <w:spacing w:after="0" w:line="240" w:lineRule="auto"/>
      </w:pPr>
      <w:r>
        <w:separator/>
      </w:r>
    </w:p>
  </w:footnote>
  <w:footnote w:type="continuationSeparator" w:id="0">
    <w:p w14:paraId="25A5714C" w14:textId="77777777" w:rsidR="00497E78" w:rsidRDefault="00497E78" w:rsidP="00D3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A031" w14:textId="7F082D30" w:rsidR="00D34F16" w:rsidRDefault="00D34F16" w:rsidP="00D34F16">
    <w:pPr>
      <w:pStyle w:val="Header"/>
      <w:jc w:val="right"/>
    </w:pPr>
    <w:r>
      <w:rPr>
        <w:noProof/>
      </w:rPr>
      <w:drawing>
        <wp:inline distT="0" distB="0" distL="0" distR="0" wp14:anchorId="77BA7B20" wp14:editId="5907A14D">
          <wp:extent cx="1435100" cy="600303"/>
          <wp:effectExtent l="0" t="0" r="0" b="0"/>
          <wp:docPr id="2" name="Picture 2" descr="A picture containing text, font, logo, licen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logo, licens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848" cy="60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1BF"/>
    <w:multiLevelType w:val="hybridMultilevel"/>
    <w:tmpl w:val="2932EB6A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6AEC"/>
    <w:multiLevelType w:val="hybridMultilevel"/>
    <w:tmpl w:val="5608C358"/>
    <w:lvl w:ilvl="0" w:tplc="218C5AA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7D5"/>
    <w:multiLevelType w:val="hybridMultilevel"/>
    <w:tmpl w:val="169825D0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7CBF"/>
    <w:multiLevelType w:val="hybridMultilevel"/>
    <w:tmpl w:val="07F48C46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777A"/>
    <w:multiLevelType w:val="hybridMultilevel"/>
    <w:tmpl w:val="CB74C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5F1B"/>
    <w:multiLevelType w:val="hybridMultilevel"/>
    <w:tmpl w:val="9E6C269A"/>
    <w:lvl w:ilvl="0" w:tplc="D9A8962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26C14"/>
    <w:multiLevelType w:val="hybridMultilevel"/>
    <w:tmpl w:val="BE72AD2E"/>
    <w:lvl w:ilvl="0" w:tplc="218C5AAC">
      <w:start w:val="1"/>
      <w:numFmt w:val="bullet"/>
      <w:lvlText w:val=""/>
      <w:lvlJc w:val="left"/>
      <w:pPr>
        <w:ind w:left="284" w:hanging="284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1A29"/>
    <w:multiLevelType w:val="hybridMultilevel"/>
    <w:tmpl w:val="8320E6E0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4CE9"/>
    <w:multiLevelType w:val="hybridMultilevel"/>
    <w:tmpl w:val="99D2A90E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604"/>
    <w:multiLevelType w:val="hybridMultilevel"/>
    <w:tmpl w:val="CDD6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93E13"/>
    <w:multiLevelType w:val="hybridMultilevel"/>
    <w:tmpl w:val="5F220022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62C3"/>
    <w:multiLevelType w:val="hybridMultilevel"/>
    <w:tmpl w:val="C0A86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F31C5"/>
    <w:multiLevelType w:val="hybridMultilevel"/>
    <w:tmpl w:val="1D303292"/>
    <w:lvl w:ilvl="0" w:tplc="D9A8962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604492"/>
    <w:multiLevelType w:val="hybridMultilevel"/>
    <w:tmpl w:val="77CAEB1A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4207"/>
    <w:multiLevelType w:val="hybridMultilevel"/>
    <w:tmpl w:val="815E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1488D"/>
    <w:multiLevelType w:val="hybridMultilevel"/>
    <w:tmpl w:val="FE08357E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D3EB7"/>
    <w:multiLevelType w:val="hybridMultilevel"/>
    <w:tmpl w:val="218C6264"/>
    <w:lvl w:ilvl="0" w:tplc="218C5AAC">
      <w:start w:val="1"/>
      <w:numFmt w:val="bullet"/>
      <w:lvlText w:val=""/>
      <w:lvlJc w:val="left"/>
      <w:pPr>
        <w:ind w:left="284" w:hanging="284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D70AF"/>
    <w:multiLevelType w:val="multilevel"/>
    <w:tmpl w:val="50E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2601A"/>
    <w:multiLevelType w:val="hybridMultilevel"/>
    <w:tmpl w:val="EB5CB49A"/>
    <w:lvl w:ilvl="0" w:tplc="D9A8962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62ED7"/>
    <w:multiLevelType w:val="hybridMultilevel"/>
    <w:tmpl w:val="4918A760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A4E57"/>
    <w:multiLevelType w:val="hybridMultilevel"/>
    <w:tmpl w:val="CDD6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D0A11"/>
    <w:multiLevelType w:val="hybridMultilevel"/>
    <w:tmpl w:val="BDD888C4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41AC8"/>
    <w:multiLevelType w:val="hybridMultilevel"/>
    <w:tmpl w:val="60A4D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2710C5"/>
    <w:multiLevelType w:val="hybridMultilevel"/>
    <w:tmpl w:val="E94E00AC"/>
    <w:lvl w:ilvl="0" w:tplc="218C5A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64C39"/>
    <w:multiLevelType w:val="hybridMultilevel"/>
    <w:tmpl w:val="2250A0D4"/>
    <w:lvl w:ilvl="0" w:tplc="D9A8962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226286">
    <w:abstractNumId w:val="16"/>
  </w:num>
  <w:num w:numId="2" w16cid:durableId="295452655">
    <w:abstractNumId w:val="6"/>
  </w:num>
  <w:num w:numId="3" w16cid:durableId="696198560">
    <w:abstractNumId w:val="18"/>
  </w:num>
  <w:num w:numId="4" w16cid:durableId="898635816">
    <w:abstractNumId w:val="5"/>
  </w:num>
  <w:num w:numId="5" w16cid:durableId="1254120577">
    <w:abstractNumId w:val="12"/>
  </w:num>
  <w:num w:numId="6" w16cid:durableId="2034838080">
    <w:abstractNumId w:val="24"/>
  </w:num>
  <w:num w:numId="7" w16cid:durableId="1872374734">
    <w:abstractNumId w:val="14"/>
  </w:num>
  <w:num w:numId="8" w16cid:durableId="546572167">
    <w:abstractNumId w:val="0"/>
  </w:num>
  <w:num w:numId="9" w16cid:durableId="938869975">
    <w:abstractNumId w:val="2"/>
  </w:num>
  <w:num w:numId="10" w16cid:durableId="11495322">
    <w:abstractNumId w:val="8"/>
  </w:num>
  <w:num w:numId="11" w16cid:durableId="244188603">
    <w:abstractNumId w:val="13"/>
  </w:num>
  <w:num w:numId="12" w16cid:durableId="1959143557">
    <w:abstractNumId w:val="1"/>
  </w:num>
  <w:num w:numId="13" w16cid:durableId="1020159743">
    <w:abstractNumId w:val="10"/>
  </w:num>
  <w:num w:numId="14" w16cid:durableId="563373556">
    <w:abstractNumId w:val="3"/>
  </w:num>
  <w:num w:numId="15" w16cid:durableId="247733927">
    <w:abstractNumId w:val="19"/>
  </w:num>
  <w:num w:numId="16" w16cid:durableId="1966036843">
    <w:abstractNumId w:val="23"/>
  </w:num>
  <w:num w:numId="17" w16cid:durableId="2077625227">
    <w:abstractNumId w:val="9"/>
  </w:num>
  <w:num w:numId="18" w16cid:durableId="1759058877">
    <w:abstractNumId w:val="21"/>
  </w:num>
  <w:num w:numId="19" w16cid:durableId="932590900">
    <w:abstractNumId w:val="7"/>
  </w:num>
  <w:num w:numId="20" w16cid:durableId="309096381">
    <w:abstractNumId w:val="15"/>
  </w:num>
  <w:num w:numId="21" w16cid:durableId="660233151">
    <w:abstractNumId w:val="11"/>
  </w:num>
  <w:num w:numId="22" w16cid:durableId="1724601279">
    <w:abstractNumId w:val="20"/>
  </w:num>
  <w:num w:numId="23" w16cid:durableId="1015039973">
    <w:abstractNumId w:val="17"/>
  </w:num>
  <w:num w:numId="24" w16cid:durableId="955869868">
    <w:abstractNumId w:val="4"/>
  </w:num>
  <w:num w:numId="25" w16cid:durableId="19128113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29"/>
    <w:rsid w:val="00010DAF"/>
    <w:rsid w:val="00014074"/>
    <w:rsid w:val="00022CF6"/>
    <w:rsid w:val="00047A75"/>
    <w:rsid w:val="000D22D1"/>
    <w:rsid w:val="00117A69"/>
    <w:rsid w:val="00127210"/>
    <w:rsid w:val="001332F6"/>
    <w:rsid w:val="001426B8"/>
    <w:rsid w:val="00156BC1"/>
    <w:rsid w:val="001C6C2F"/>
    <w:rsid w:val="00204D5A"/>
    <w:rsid w:val="00206661"/>
    <w:rsid w:val="00243F23"/>
    <w:rsid w:val="00282F79"/>
    <w:rsid w:val="00296F05"/>
    <w:rsid w:val="002B4900"/>
    <w:rsid w:val="00304FB6"/>
    <w:rsid w:val="003171F4"/>
    <w:rsid w:val="00347AB7"/>
    <w:rsid w:val="003B546D"/>
    <w:rsid w:val="003D2666"/>
    <w:rsid w:val="00403243"/>
    <w:rsid w:val="00415973"/>
    <w:rsid w:val="00427CBA"/>
    <w:rsid w:val="00427D60"/>
    <w:rsid w:val="004369F3"/>
    <w:rsid w:val="00497E78"/>
    <w:rsid w:val="004A40FC"/>
    <w:rsid w:val="004A6C78"/>
    <w:rsid w:val="004A7675"/>
    <w:rsid w:val="004B437D"/>
    <w:rsid w:val="004C6C45"/>
    <w:rsid w:val="00512EAF"/>
    <w:rsid w:val="00524BFF"/>
    <w:rsid w:val="00560D2F"/>
    <w:rsid w:val="005858A7"/>
    <w:rsid w:val="00610D4B"/>
    <w:rsid w:val="00612D23"/>
    <w:rsid w:val="00641799"/>
    <w:rsid w:val="00641D9E"/>
    <w:rsid w:val="0064310C"/>
    <w:rsid w:val="00662133"/>
    <w:rsid w:val="006D6BD2"/>
    <w:rsid w:val="006E76A9"/>
    <w:rsid w:val="00774714"/>
    <w:rsid w:val="007B54DF"/>
    <w:rsid w:val="007F6D6C"/>
    <w:rsid w:val="00876FE2"/>
    <w:rsid w:val="00894AF1"/>
    <w:rsid w:val="008C088E"/>
    <w:rsid w:val="008C41F1"/>
    <w:rsid w:val="008E39E7"/>
    <w:rsid w:val="009710CC"/>
    <w:rsid w:val="00997D26"/>
    <w:rsid w:val="009E653B"/>
    <w:rsid w:val="009F1F92"/>
    <w:rsid w:val="00A014EB"/>
    <w:rsid w:val="00A017FF"/>
    <w:rsid w:val="00A03EDB"/>
    <w:rsid w:val="00A41929"/>
    <w:rsid w:val="00B021FB"/>
    <w:rsid w:val="00B13DD9"/>
    <w:rsid w:val="00B51C79"/>
    <w:rsid w:val="00BA2F5D"/>
    <w:rsid w:val="00BD1E85"/>
    <w:rsid w:val="00C50F9B"/>
    <w:rsid w:val="00D174B7"/>
    <w:rsid w:val="00D2692C"/>
    <w:rsid w:val="00D34E81"/>
    <w:rsid w:val="00D34F16"/>
    <w:rsid w:val="00D51C6D"/>
    <w:rsid w:val="00D55C43"/>
    <w:rsid w:val="00D64590"/>
    <w:rsid w:val="00D74839"/>
    <w:rsid w:val="00DA0691"/>
    <w:rsid w:val="00DF312A"/>
    <w:rsid w:val="00E44137"/>
    <w:rsid w:val="00E77E8C"/>
    <w:rsid w:val="00E867E6"/>
    <w:rsid w:val="00EF7929"/>
    <w:rsid w:val="00F5490E"/>
    <w:rsid w:val="00F74A92"/>
    <w:rsid w:val="00FA6F21"/>
    <w:rsid w:val="00FC41B4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2DEFF"/>
  <w15:docId w15:val="{44C2F9C6-6CF4-420F-B031-2FA0CBD5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929"/>
    <w:pPr>
      <w:ind w:left="720"/>
      <w:contextualSpacing/>
    </w:pPr>
  </w:style>
  <w:style w:type="table" w:styleId="TableGrid">
    <w:name w:val="Table Grid"/>
    <w:basedOn w:val="TableNormal"/>
    <w:uiPriority w:val="39"/>
    <w:rsid w:val="00EF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3B546D"/>
  </w:style>
  <w:style w:type="character" w:styleId="Hyperlink">
    <w:name w:val="Hyperlink"/>
    <w:basedOn w:val="DefaultParagraphFont"/>
    <w:uiPriority w:val="99"/>
    <w:unhideWhenUsed/>
    <w:rsid w:val="005858A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74A92"/>
  </w:style>
  <w:style w:type="character" w:customStyle="1" w:styleId="refseries">
    <w:name w:val="ref__series"/>
    <w:basedOn w:val="DefaultParagraphFont"/>
    <w:rsid w:val="00F74A92"/>
  </w:style>
  <w:style w:type="character" w:customStyle="1" w:styleId="refseriesdate">
    <w:name w:val="ref__seriesdate"/>
    <w:basedOn w:val="DefaultParagraphFont"/>
    <w:rsid w:val="00F74A92"/>
  </w:style>
  <w:style w:type="character" w:customStyle="1" w:styleId="refseriesvolume">
    <w:name w:val="ref__seriesvolume"/>
    <w:basedOn w:val="DefaultParagraphFont"/>
    <w:rsid w:val="00F74A92"/>
  </w:style>
  <w:style w:type="character" w:customStyle="1" w:styleId="refseriespages">
    <w:name w:val="ref__seriespages"/>
    <w:basedOn w:val="DefaultParagraphFont"/>
    <w:rsid w:val="00F74A92"/>
  </w:style>
  <w:style w:type="character" w:styleId="FollowedHyperlink">
    <w:name w:val="FollowedHyperlink"/>
    <w:basedOn w:val="DefaultParagraphFont"/>
    <w:uiPriority w:val="99"/>
    <w:semiHidden/>
    <w:unhideWhenUsed/>
    <w:rsid w:val="00DF312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6"/>
  </w:style>
  <w:style w:type="paragraph" w:styleId="Footer">
    <w:name w:val="footer"/>
    <w:basedOn w:val="Normal"/>
    <w:link w:val="FooterChar"/>
    <w:uiPriority w:val="99"/>
    <w:unhideWhenUsed/>
    <w:rsid w:val="00D3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6FF00-B01C-D243-84D9-7AF1AEEC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KANE, Caroline (UNIVERSITY HOSPITALS BRISTOL AND WESTON NHS FOUNDATION TRUST)</dc:creator>
  <cp:lastModifiedBy>Annabel Tilbrook</cp:lastModifiedBy>
  <cp:revision>3</cp:revision>
  <dcterms:created xsi:type="dcterms:W3CDTF">2023-06-26T13:47:00Z</dcterms:created>
  <dcterms:modified xsi:type="dcterms:W3CDTF">2023-06-26T19:37:00Z</dcterms:modified>
</cp:coreProperties>
</file>